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0AE54C5C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E6687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116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641E5F" w:rsidRPr="00641E5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R4-2510244</w:t>
      </w:r>
    </w:p>
    <w:p w14:paraId="6E5D72FD" w14:textId="28019083" w:rsidR="0040353F" w:rsidRPr="00E6687A" w:rsidRDefault="00641E5F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641E5F">
        <w:rPr>
          <w:rFonts w:ascii="Arial" w:hAnsi="Arial" w:cs="Arial"/>
          <w:b/>
          <w:bCs/>
          <w:kern w:val="0"/>
          <w:sz w:val="22"/>
          <w:szCs w:val="20"/>
          <w:lang w:val="en-GB"/>
        </w:rPr>
        <w:t>Bengaluru, India, August 25th – 29th, 2025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68EF004" w:rsidR="0040353F" w:rsidRPr="00E6687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 on</w:t>
      </w:r>
      <w:r w:rsidR="00E6687A">
        <w:rPr>
          <w:rFonts w:ascii="Arial" w:hAnsi="Arial" w:cs="Arial" w:hint="eastAsia"/>
          <w:kern w:val="0"/>
          <w:sz w:val="22"/>
          <w:szCs w:val="20"/>
          <w:lang w:val="en-GB"/>
        </w:rPr>
        <w:t xml:space="preserve"> </w:t>
      </w:r>
      <w:r w:rsidR="00EB1928">
        <w:rPr>
          <w:rFonts w:ascii="Arial" w:hAnsi="Arial" w:cs="Arial" w:hint="eastAsia"/>
          <w:kern w:val="0"/>
          <w:sz w:val="22"/>
          <w:szCs w:val="20"/>
          <w:lang w:val="en-GB"/>
        </w:rPr>
        <w:t>the remaining issue of FR2 OTA</w:t>
      </w:r>
    </w:p>
    <w:p w14:paraId="76ECAF7E" w14:textId="233B2376" w:rsidR="0040353F" w:rsidRPr="00EB1928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641E5F">
        <w:rPr>
          <w:rFonts w:ascii="Arial" w:hAnsi="Arial" w:cs="Arial" w:hint="eastAsia"/>
          <w:kern w:val="0"/>
          <w:sz w:val="22"/>
          <w:szCs w:val="20"/>
        </w:rPr>
        <w:t>7.11.3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77777777" w:rsidR="003210C1" w:rsidRPr="009964EB" w:rsidRDefault="003210C1" w:rsidP="003210C1">
      <w:pPr>
        <w:ind w:left="1440"/>
        <w:rPr>
          <w:rFonts w:ascii="Times New Roman" w:hAnsi="Times New Roman" w:cs="Times New Roman"/>
        </w:rPr>
      </w:pPr>
    </w:p>
    <w:p w14:paraId="2945D4CE" w14:textId="709223FB" w:rsidR="0046192B" w:rsidRDefault="00000000" w:rsidP="00947DDB">
      <w:pPr>
        <w:rPr>
          <w:rFonts w:ascii="Times New Roman" w:hAnsi="Times New Roman" w:cs="Times New Roman"/>
        </w:rPr>
      </w:pPr>
      <w:r>
        <w:rPr>
          <w:noProof/>
        </w:rPr>
        <w:pict w14:anchorId="56261BD0">
          <v:rect id="矩形 1" o:spid="_x0000_s2050" style="position:absolute;left:0;text-align:left;margin-left:2.4pt;margin-top:22.8pt;width:482.7pt;height:10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xL+fAIAAG4FAAAOAAAAZHJzL2Uyb0RvYy54bWysVE1v2zAMvQ/YfxB0X22n30GdImjRYUDR&#10;BmuHnhVZqg3IokYpsbNfP0pOnKAtNmDYxRZF8pF8Inl13beGrRX6BmzJi6OcM2UlVI19LfmP57sv&#10;F5z5IGwlDFhV8o3y/Hr2+dNV56ZqAjWYSiEjEOunnSt5HYKbZpmXtWqFPwKnLCk1YCsCifiaVSg6&#10;Qm9NNsnzs6wDrByCVN7T7e2g5LOEr7WS4VFrrwIzJafcQvpi+i7jN5tdiekrClc3cpuG+IcsWtFY&#10;CjpC3Yog2Aqbd1BtIxE86HAkoc1A60aqVANVU+RvqnmqhVOpFiLHu5Em//9g5cP6yS2QaOicn3o6&#10;xip6jW38U36sT2RtRrJUH5iky7PiOJ9cEqeSdMXk/PiiSHRme3eHPnxV0LJ4KDnSaySSxPreBwpJ&#10;pjuTGM3CXWNMehFj44UH01TxLgmxJdSNQbYW9JhCSmVDER+QYA4sSYre2b6edAoboyKMsd+VZk1F&#10;FUxSMqnV3uOmkLWo1BCuOM3zXXmjRwqdAKO1pkRH7OJP2EPOW/voqlKnjs75351HjxQZbBid28YC&#10;fgRgRrb0YL8jaaAmshT6ZU/JxeMSqs0CGcIwMt7Ju4Ze8V74sBBIM0IvT3MfHumjDXQlh+2Jsxrw&#10;10f30Z5al7ScdTRzJfc/VwIVZ+abpaa+LE5O4pAm4eT0fEICHmqWhxq7am+AOqGgDeNkOkb7YHZH&#10;jdC+0HqYx6ikElZS7JLLgDvhJgy7gBaMVPN5MqPBdCLc2ycnI3gkOHbpc/8i0G1bOdAUPMBuPsX0&#10;TUcPttHTwnwVQDep3fe8bqmnoU49tF1AcWscyslqvyZnvwEAAP//AwBQSwMEFAAGAAgAAAAhAD5Q&#10;7DXcAAAACAEAAA8AAABkcnMvZG93bnJldi54bWxMj8FOwzAQRO9I/IO1SNyo06gNJcSpEBJ3KKW9&#10;buNtEjW2I9uNw9+znOC0Gs1o5m21nc0gJvKhd1bBcpGBINs43dtWwf7z7WEDIkS0GgdnScE3BdjW&#10;tzcVltol+0HTLraCS2woUUEX41hKGZqODIaFG8myd3beYGTpW6k9Ji43g8yzrJAGe8sLHY702lFz&#10;2V2NgpjSegrNUZ/3G5/eD4fwhceg1P3d/PIMItIc/8Lwi8/oUDPTyV2tDmJQsGLwyGddgGD76THL&#10;QZwU5KsiB1lX8v8D9Q8AAAD//wMAUEsBAi0AFAAGAAgAAAAhALaDOJL+AAAA4QEAABMAAAAAAAAA&#10;AAAAAAAAAAAAAFtDb250ZW50X1R5cGVzXS54bWxQSwECLQAUAAYACAAAACEAOP0h/9YAAACUAQAA&#10;CwAAAAAAAAAAAAAAAAAvAQAAX3JlbHMvLnJlbHNQSwECLQAUAAYACAAAACEAbuMS/nwCAABuBQAA&#10;DgAAAAAAAAAAAAAAAAAuAgAAZHJzL2Uyb0RvYy54bWxQSwECLQAUAAYACAAAACEAPlDsNdwAAAAI&#10;AQAADwAAAAAAAAAAAAAAAADWBAAAZHJzL2Rvd25yZXYueG1sUEsFBgAAAAAEAAQA8wAAAN8FAAAA&#10;AA==&#10;" filled="f" strokecolor="#4472c4 [3204]" strokeweight="1pt">
            <v:textbox>
              <w:txbxContent>
                <w:p w14:paraId="7E11502E" w14:textId="77777777" w:rsidR="00EB1928" w:rsidRPr="00EB1928" w:rsidRDefault="00EB1928" w:rsidP="00EB1928">
                  <w:pPr>
                    <w:pStyle w:val="ac"/>
                    <w:widowControl/>
                    <w:numPr>
                      <w:ilvl w:val="0"/>
                      <w:numId w:val="23"/>
                    </w:numPr>
                    <w:autoSpaceDN w:val="0"/>
                    <w:spacing w:after="120"/>
                    <w:jc w:val="left"/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</w:rPr>
                  </w:pPr>
                  <w:r w:rsidRPr="00EB1928"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</w:rPr>
                    <w:t xml:space="preserve">AoA1 and AoA2 will have the same </w:t>
                  </w:r>
                  <w:proofErr w:type="spellStart"/>
                  <w:r w:rsidRPr="00EB1928"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</w:rPr>
                    <w:t>TT</w:t>
                  </w:r>
                  <w:r w:rsidRPr="00EB1928"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  <w:vertAlign w:val="subscript"/>
                    </w:rPr>
                    <w:t>FiniteRes</w:t>
                  </w:r>
                  <w:proofErr w:type="spellEnd"/>
                  <w:r w:rsidRPr="00EB1928"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</w:rPr>
                    <w:t xml:space="preserve">, i.e., we are not assessing </w:t>
                  </w:r>
                  <w:proofErr w:type="spellStart"/>
                  <w:r w:rsidRPr="00EB1928"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</w:rPr>
                    <w:t>TT</w:t>
                  </w:r>
                  <w:r w:rsidRPr="00EB1928"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  <w:vertAlign w:val="subscript"/>
                    </w:rPr>
                    <w:t>FiniteRes</w:t>
                  </w:r>
                  <w:proofErr w:type="spellEnd"/>
                  <w:r w:rsidRPr="00EB1928">
                    <w:rPr>
                      <w:rFonts w:ascii="Times New Roman" w:eastAsia="宋体" w:hAnsi="Times New Roman" w:cs="Times New Roman"/>
                      <w:i/>
                      <w:iCs/>
                      <w:color w:val="000000" w:themeColor="text1"/>
                      <w:szCs w:val="24"/>
                    </w:rPr>
                    <w:t xml:space="preserve"> separately for the two different scenarios (AoA1 declared vs Beam peak direction re-used (default))</w:t>
                  </w:r>
                </w:p>
                <w:p w14:paraId="793E01CC" w14:textId="77777777" w:rsidR="00EB1928" w:rsidRPr="00EB1928" w:rsidRDefault="00EB1928" w:rsidP="00EB1928">
                  <w:pPr>
                    <w:pStyle w:val="ac"/>
                    <w:widowControl/>
                    <w:numPr>
                      <w:ilvl w:val="0"/>
                      <w:numId w:val="23"/>
                    </w:numPr>
                    <w:autoSpaceDN w:val="0"/>
                    <w:spacing w:after="120"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</w:pPr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 xml:space="preserve">The </w:t>
                  </w:r>
                  <w:proofErr w:type="spellStart"/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>TT</w:t>
                  </w:r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  <w:vertAlign w:val="subscript"/>
                    </w:rPr>
                    <w:t>FiniteRes</w:t>
                  </w:r>
                  <w:proofErr w:type="spellEnd"/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 xml:space="preserve"> will be assessed similar to [R4-2506847] [R4-2506974] but with [6x6, 4x2] antenna configs and beam steering assumptions for the PC1/PC5 from spherical coverage analyses in RAN5, i.e., 4</w:t>
                  </w:r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  <w:vertAlign w:val="superscript"/>
                    </w:rPr>
                    <w:t>o</w:t>
                  </w:r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 xml:space="preserve"> beam steering granularity [R5-227982]; the resulting relative antenna gain difference will be split in half and applied equally as </w:t>
                  </w:r>
                  <w:proofErr w:type="spellStart"/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>TT</w:t>
                  </w:r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  <w:vertAlign w:val="subscript"/>
                    </w:rPr>
                    <w:t>FiniteRes</w:t>
                  </w:r>
                  <w:proofErr w:type="spellEnd"/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 xml:space="preserve"> for AoA1 and AoA2; consideration of the 0.7dB systematic MU for beam peak search in this </w:t>
                  </w:r>
                  <w:proofErr w:type="spellStart"/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>TT</w:t>
                  </w:r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  <w:vertAlign w:val="subscript"/>
                    </w:rPr>
                    <w:t>FiniteRes</w:t>
                  </w:r>
                  <w:proofErr w:type="spellEnd"/>
                  <w:r w:rsidRPr="00EB1928">
                    <w:rPr>
                      <w:rFonts w:ascii="Times New Roman" w:eastAsia="Times New Roman" w:hAnsi="Times New Roman" w:cs="Times New Roman"/>
                      <w:i/>
                      <w:iCs/>
                      <w:color w:val="000000" w:themeColor="text1"/>
                      <w:sz w:val="22"/>
                    </w:rPr>
                    <w:t xml:space="preserve"> is TBD. </w:t>
                  </w:r>
                </w:p>
                <w:p w14:paraId="7A803761" w14:textId="77777777" w:rsidR="00EB1928" w:rsidRPr="00EB1928" w:rsidRDefault="00EB1928" w:rsidP="00EB19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xbxContent>
            </v:textbox>
            <w10:wrap type="topAndBottom"/>
          </v:rect>
        </w:pict>
      </w:r>
      <w:r w:rsidR="00EB1928">
        <w:rPr>
          <w:rFonts w:ascii="Times New Roman" w:hAnsi="Times New Roman" w:cs="Times New Roman" w:hint="eastAsia"/>
        </w:rPr>
        <w:t xml:space="preserve">In [1], the applicability </w:t>
      </w:r>
      <w:r w:rsidR="00EB1928">
        <w:rPr>
          <w:rFonts w:ascii="Times New Roman" w:hAnsi="Times New Roman" w:cs="Times New Roman"/>
        </w:rPr>
        <w:t>rules</w:t>
      </w:r>
      <w:r w:rsidR="00EB1928">
        <w:rPr>
          <w:rFonts w:ascii="Times New Roman" w:hAnsi="Times New Roman" w:cs="Times New Roman" w:hint="eastAsia"/>
        </w:rPr>
        <w:t xml:space="preserve"> and evaluation assumption of test </w:t>
      </w:r>
      <w:r w:rsidR="00EB1928">
        <w:rPr>
          <w:rFonts w:ascii="Times New Roman" w:hAnsi="Times New Roman" w:cs="Times New Roman"/>
        </w:rPr>
        <w:t>tolerance</w:t>
      </w:r>
      <w:r w:rsidR="00EB1928">
        <w:rPr>
          <w:rFonts w:ascii="Times New Roman" w:hAnsi="Times New Roman" w:cs="Times New Roman" w:hint="eastAsia"/>
        </w:rPr>
        <w:t xml:space="preserve"> was agreed for </w:t>
      </w:r>
      <w:proofErr w:type="spellStart"/>
      <w:r w:rsidR="00EB1928">
        <w:rPr>
          <w:rFonts w:ascii="Times New Roman" w:hAnsi="Times New Roman" w:cs="Times New Roman" w:hint="eastAsia"/>
        </w:rPr>
        <w:t>sTxMP</w:t>
      </w:r>
      <w:proofErr w:type="spellEnd"/>
      <w:r w:rsidR="00EB1928">
        <w:rPr>
          <w:rFonts w:ascii="Times New Roman" w:hAnsi="Times New Roman" w:cs="Times New Roman" w:hint="eastAsia"/>
        </w:rPr>
        <w:t>:</w:t>
      </w:r>
    </w:p>
    <w:p w14:paraId="3D49BDA5" w14:textId="44905484" w:rsidR="00EB1928" w:rsidRDefault="00EB1928" w:rsidP="00947DDB">
      <w:pPr>
        <w:rPr>
          <w:rFonts w:ascii="Times New Roman" w:hAnsi="Times New Roman" w:cs="Times New Roman"/>
        </w:rPr>
      </w:pPr>
    </w:p>
    <w:p w14:paraId="18BB44BE" w14:textId="3E480BA5" w:rsidR="007A6214" w:rsidRPr="007A6214" w:rsidRDefault="00EB192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contribution </w:t>
      </w:r>
      <w:r>
        <w:rPr>
          <w:rFonts w:ascii="Times New Roman" w:hAnsi="Times New Roman" w:cs="Times New Roman"/>
        </w:rPr>
        <w:t>provides</w:t>
      </w:r>
      <w:r>
        <w:rPr>
          <w:rFonts w:ascii="Times New Roman" w:hAnsi="Times New Roman" w:cs="Times New Roman" w:hint="eastAsia"/>
        </w:rPr>
        <w:t xml:space="preserve"> the evaluation and analysis of the </w:t>
      </w:r>
      <w:proofErr w:type="spellStart"/>
      <w:r w:rsidRPr="00EB1928">
        <w:rPr>
          <w:rFonts w:ascii="Times New Roman" w:eastAsia="宋体" w:hAnsi="Times New Roman" w:cs="Times New Roman"/>
          <w:color w:val="000000" w:themeColor="text1"/>
          <w:szCs w:val="24"/>
        </w:rPr>
        <w:t>TT</w:t>
      </w:r>
      <w:r w:rsidRPr="00EB1928">
        <w:rPr>
          <w:rFonts w:ascii="Times New Roman" w:eastAsia="宋体" w:hAnsi="Times New Roman" w:cs="Times New Roman"/>
          <w:color w:val="000000" w:themeColor="text1"/>
          <w:szCs w:val="24"/>
          <w:vertAlign w:val="subscript"/>
        </w:rPr>
        <w:t>FiniteRes</w:t>
      </w:r>
      <w:proofErr w:type="spellEnd"/>
    </w:p>
    <w:p w14:paraId="4ED6C918" w14:textId="22F21BA3" w:rsidR="00EB1928" w:rsidRPr="00EB1928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F614E05" w14:textId="395BFAA4" w:rsidR="00EB1928" w:rsidRDefault="00F431C7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In [2], we provide the initial analysis of the additional tolerance for the AoA2 (i.e., the AoA not declared by UE or align with the beam beak of single carrier)</w:t>
      </w:r>
      <w:r w:rsidR="002E74A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but it </w:t>
      </w:r>
      <w:r w:rsidR="00022CC0">
        <w:rPr>
          <w:rFonts w:ascii="Times New Roman" w:eastAsia="等线" w:hAnsi="Times New Roman" w:cs="Times New Roman" w:hint="eastAsia"/>
          <w:kern w:val="0"/>
          <w:sz w:val="24"/>
          <w:szCs w:val="24"/>
        </w:rPr>
        <w:t>was</w:t>
      </w:r>
      <w:r w:rsidR="002E74A9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pointed </w:t>
      </w:r>
      <w:r w:rsidR="00022CC0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out </w:t>
      </w:r>
      <w:r w:rsidR="002E74A9">
        <w:rPr>
          <w:rFonts w:ascii="Times New Roman" w:eastAsia="等线" w:hAnsi="Times New Roman" w:cs="Times New Roman" w:hint="eastAsia"/>
          <w:kern w:val="0"/>
          <w:sz w:val="24"/>
          <w:szCs w:val="24"/>
        </w:rPr>
        <w:t>that the assumption is not align with the previous PC5 evaluation.</w:t>
      </w:r>
      <w:r w:rsidR="00022CC0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</w:t>
      </w:r>
      <w:r w:rsidR="00022CC0">
        <w:rPr>
          <w:rFonts w:ascii="Times New Roman" w:eastAsia="等线" w:hAnsi="Times New Roman" w:cs="Times New Roman"/>
          <w:kern w:val="0"/>
          <w:sz w:val="24"/>
          <w:szCs w:val="24"/>
        </w:rPr>
        <w:t>W</w:t>
      </w:r>
      <w:r w:rsidR="00022CC0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e update the simulation assumption and the </w:t>
      </w:r>
      <w:r w:rsidR="00022CC0">
        <w:rPr>
          <w:rFonts w:ascii="Times New Roman" w:eastAsia="等线" w:hAnsi="Times New Roman" w:cs="Times New Roman"/>
          <w:kern w:val="0"/>
          <w:sz w:val="24"/>
          <w:szCs w:val="24"/>
        </w:rPr>
        <w:t>results</w:t>
      </w:r>
      <w:r w:rsidR="00022CC0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are shown in Figure 1</w:t>
      </w:r>
      <w:bookmarkStart w:id="4" w:name="OLE_LINK1"/>
    </w:p>
    <w:p w14:paraId="7D9E32AD" w14:textId="77777777" w:rsidR="00022CC0" w:rsidRDefault="00022CC0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4116DF75" w14:textId="77777777" w:rsidR="00022CC0" w:rsidRDefault="00022CC0" w:rsidP="00022CC0">
      <w:pPr>
        <w:jc w:val="center"/>
      </w:pPr>
      <w:r>
        <w:rPr>
          <w:noProof/>
        </w:rPr>
        <w:drawing>
          <wp:inline distT="0" distB="0" distL="0" distR="0" wp14:anchorId="258773E2" wp14:editId="5875598D">
            <wp:extent cx="2637692" cy="2148060"/>
            <wp:effectExtent l="0" t="0" r="0" b="0"/>
            <wp:docPr id="784961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9613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8949" cy="2157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01C1">
        <w:rPr>
          <w:noProof/>
        </w:rPr>
        <w:drawing>
          <wp:inline distT="0" distB="0" distL="0" distR="0" wp14:anchorId="28F955C2" wp14:editId="005BBDA9">
            <wp:extent cx="2579011" cy="2150048"/>
            <wp:effectExtent l="0" t="0" r="0" b="0"/>
            <wp:docPr id="10483351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3511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7902" cy="215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4"/>
    <w:p w14:paraId="48C62322" w14:textId="7BD344CA" w:rsidR="00022CC0" w:rsidRPr="00022CC0" w:rsidRDefault="00022CC0" w:rsidP="00022CC0">
      <w:pPr>
        <w:jc w:val="center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022CC0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Figure 1 updated simulation results based on [1]</w:t>
      </w:r>
    </w:p>
    <w:p w14:paraId="242C3D3B" w14:textId="79A228D0" w:rsidR="00F76B43" w:rsidRDefault="00F76B43" w:rsidP="00F76B43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ince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usually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the FWA/CPE assume 6x6 or 12x12, and 4x2 is more likely used in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smartphone, to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avoid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unnecessary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misleading, we suggest to only keep the 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assumption of 6x6.</w:t>
      </w:r>
    </w:p>
    <w:p w14:paraId="161B52DA" w14:textId="77777777" w:rsidR="00F76B43" w:rsidRDefault="00F76B43" w:rsidP="00F76B43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6E871E24" w14:textId="71304A0A" w:rsidR="00F76B43" w:rsidRPr="00F76B43" w:rsidRDefault="00F76B43" w:rsidP="00F76B43">
      <w:pP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</w:pPr>
      <w:r w:rsidRPr="00F76B43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F76B43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roposal 1: Only keep the results of 6x6 antenna assumption.</w:t>
      </w:r>
    </w:p>
    <w:p w14:paraId="3CB91A21" w14:textId="77777777" w:rsidR="00F76B43" w:rsidRPr="00F76B43" w:rsidRDefault="00F76B43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794C61CB" w14:textId="4DF014A6" w:rsidR="00022CC0" w:rsidRPr="00022CC0" w:rsidRDefault="00022CC0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lastRenderedPageBreak/>
        <w:t xml:space="preserve">Due to finer beam granularity, the degradation is reduced obviously, for 6x6 antenna assumption, the maximum antenna gain degradation is around 1.5 </w:t>
      </w:r>
      <w:proofErr w:type="spellStart"/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dB.</w:t>
      </w:r>
      <w:proofErr w:type="spellEnd"/>
    </w:p>
    <w:p w14:paraId="10B6CA83" w14:textId="77777777" w:rsidR="004B4333" w:rsidRDefault="004B4333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0776689E" w14:textId="7EEB5DE5" w:rsidR="001F6A69" w:rsidRPr="00032E15" w:rsidRDefault="001F6A69" w:rsidP="00EB1928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032E15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O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bservation 1: The maximum antenna gain degradation for AoA2 is around 1.</w:t>
      </w:r>
      <w:r w:rsidR="00022CC0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5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</w:t>
      </w:r>
      <w:proofErr w:type="spellStart"/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dB.</w:t>
      </w:r>
      <w:proofErr w:type="spellEnd"/>
    </w:p>
    <w:p w14:paraId="02314C98" w14:textId="77777777" w:rsidR="001F6A69" w:rsidRPr="001F6A69" w:rsidRDefault="001F6A69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2C404DFE" w14:textId="2C968CC0" w:rsidR="00E7051E" w:rsidRDefault="00E7051E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E7051E">
        <w:rPr>
          <w:rFonts w:ascii="Times New Roman" w:eastAsia="等线" w:hAnsi="Times New Roman" w:cs="Times New Roman"/>
          <w:kern w:val="0"/>
          <w:sz w:val="24"/>
          <w:szCs w:val="24"/>
        </w:rPr>
        <w:t xml:space="preserve">As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we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agreed in the last meeting, we can equally split this degradation and apply it to AoA1 and AoA2 separately.</w:t>
      </w:r>
    </w:p>
    <w:p w14:paraId="13A59614" w14:textId="77777777" w:rsidR="00E7051E" w:rsidRPr="00E7051E" w:rsidRDefault="00E7051E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0B66351A" w14:textId="392F4D34" w:rsidR="004B4333" w:rsidRPr="00032E15" w:rsidRDefault="004B4333" w:rsidP="00EB1928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Proposal </w:t>
      </w:r>
      <w:r w:rsidR="00F76B43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2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: The </w:t>
      </w:r>
      <w:r w:rsidR="00E7051E"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0.</w:t>
      </w:r>
      <w:r w:rsidR="00022CC0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8</w:t>
      </w:r>
      <w:r w:rsidR="00E7051E"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dB</w:t>
      </w:r>
      <w:r w:rsidR="00E7051E" w:rsidRPr="00032E15">
        <w:rPr>
          <w:rFonts w:ascii="Times New Roman" w:eastAsia="宋体" w:hAnsi="Times New Roman" w:cs="Times New Roman"/>
          <w:b/>
          <w:bCs/>
          <w:color w:val="000000" w:themeColor="text1"/>
          <w:szCs w:val="24"/>
        </w:rPr>
        <w:t xml:space="preserve"> </w:t>
      </w:r>
      <w:proofErr w:type="spellStart"/>
      <w:r w:rsidRPr="00032E15">
        <w:rPr>
          <w:rFonts w:ascii="Times New Roman" w:eastAsia="宋体" w:hAnsi="Times New Roman" w:cs="Times New Roman"/>
          <w:b/>
          <w:bCs/>
          <w:color w:val="000000" w:themeColor="text1"/>
          <w:szCs w:val="24"/>
        </w:rPr>
        <w:t>TT</w:t>
      </w:r>
      <w:r w:rsidRPr="00032E15">
        <w:rPr>
          <w:rFonts w:ascii="Times New Roman" w:eastAsia="宋体" w:hAnsi="Times New Roman" w:cs="Times New Roman"/>
          <w:b/>
          <w:bCs/>
          <w:color w:val="000000" w:themeColor="text1"/>
          <w:szCs w:val="24"/>
          <w:vertAlign w:val="subscript"/>
        </w:rPr>
        <w:t>FiniteRes</w:t>
      </w:r>
      <w:proofErr w:type="spellEnd"/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is applied to both AoA1 and AoA2</w:t>
      </w:r>
      <w:r w:rsidR="00032E15"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.</w:t>
      </w:r>
    </w:p>
    <w:p w14:paraId="197FB3FD" w14:textId="77777777" w:rsidR="00F76B43" w:rsidRDefault="00F76B43" w:rsidP="00EB1928">
      <w:pPr>
        <w:rPr>
          <w:rFonts w:ascii="Times New Roman" w:eastAsia="等线" w:hAnsi="Times New Roman" w:cs="Times New Roman" w:hint="eastAsia"/>
          <w:kern w:val="0"/>
          <w:sz w:val="24"/>
          <w:szCs w:val="24"/>
        </w:rPr>
      </w:pPr>
    </w:p>
    <w:p w14:paraId="3690B661" w14:textId="324D5BFC" w:rsidR="004B4333" w:rsidRDefault="00022CC0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Another remaining issue is the MU of beam peak search.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n our understanding, </w:t>
      </w:r>
      <w:r w:rsidR="00340BBC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the MU of beam peak search comes from finite test grid, and no matter UE chose to declaration or reuse the beam peak of single carrier, such uncertainty </w:t>
      </w:r>
      <w:r w:rsidR="00F751E6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still </w:t>
      </w:r>
      <w:proofErr w:type="gramStart"/>
      <w:r w:rsidR="00F751E6">
        <w:rPr>
          <w:rFonts w:ascii="Times New Roman" w:eastAsia="等线" w:hAnsi="Times New Roman" w:cs="Times New Roman" w:hint="eastAsia"/>
          <w:kern w:val="0"/>
          <w:sz w:val="24"/>
          <w:szCs w:val="24"/>
        </w:rPr>
        <w:t>exist</w:t>
      </w:r>
      <w:proofErr w:type="gramEnd"/>
    </w:p>
    <w:p w14:paraId="799571C2" w14:textId="77777777" w:rsidR="004B4333" w:rsidRDefault="004B4333" w:rsidP="00EB1928">
      <w:pPr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506598D3" w14:textId="6913F67E" w:rsidR="004B4333" w:rsidRPr="00032E15" w:rsidRDefault="004B4333" w:rsidP="00EB1928">
      <w:pPr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032E15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</w:t>
      </w:r>
      <w:r w:rsidR="00F76B43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3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: The </w:t>
      </w:r>
      <w:r w:rsidR="001F6A69"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0.</w:t>
      </w:r>
      <w:r w:rsidR="00F76B43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7</w:t>
      </w:r>
      <w:r w:rsidR="001F6A69"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dB </w:t>
      </w:r>
      <w:r w:rsidR="001F6A69" w:rsidRPr="00032E15">
        <w:rPr>
          <w:rFonts w:ascii="Times New Roman" w:eastAsia="Times New Roman" w:hAnsi="Times New Roman" w:cs="Times New Roman"/>
          <w:b/>
          <w:bCs/>
          <w:color w:val="000000" w:themeColor="text1"/>
          <w:sz w:val="22"/>
        </w:rPr>
        <w:t>systematic MU for beam peak search</w:t>
      </w:r>
      <w:r w:rsidR="001F6A69" w:rsidRPr="00032E15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 xml:space="preserve"> is </w:t>
      </w:r>
      <w:r w:rsidR="00A8346A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>still</w:t>
      </w:r>
      <w:r w:rsidR="001F6A69" w:rsidRPr="00032E15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 xml:space="preserve"> applied to </w:t>
      </w:r>
      <w:proofErr w:type="spellStart"/>
      <w:r w:rsidR="00A8346A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>sTxMP</w:t>
      </w:r>
      <w:proofErr w:type="spellEnd"/>
      <w:r w:rsidR="00AC5781" w:rsidRPr="00032E15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>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38E88AFB" w14:textId="6C00B27D" w:rsidR="00022CC0" w:rsidRPr="00F76B43" w:rsidRDefault="00F76B43" w:rsidP="00022CC0">
      <w:pPr>
        <w:rPr>
          <w:rFonts w:ascii="Times New Roman" w:eastAsia="等线" w:hAnsi="Times New Roman" w:cs="Times New Roman" w:hint="eastAsia"/>
          <w:kern w:val="0"/>
          <w:sz w:val="24"/>
          <w:szCs w:val="24"/>
        </w:rPr>
      </w:pPr>
      <w:r w:rsidRPr="00F76B43">
        <w:rPr>
          <w:rFonts w:ascii="Times New Roman" w:eastAsia="等线" w:hAnsi="Times New Roman" w:cs="Times New Roman" w:hint="eastAsia"/>
          <w:kern w:val="0"/>
          <w:sz w:val="24"/>
          <w:szCs w:val="24"/>
        </w:rPr>
        <w:t>I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n th</w:t>
      </w:r>
      <w:r w:rsidR="00641E5F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is </w:t>
      </w:r>
      <w:r w:rsidR="00641E5F">
        <w:rPr>
          <w:rFonts w:ascii="Times New Roman" w:eastAsia="等线" w:hAnsi="Times New Roman" w:cs="Times New Roman"/>
          <w:kern w:val="0"/>
          <w:sz w:val="24"/>
          <w:szCs w:val="24"/>
        </w:rPr>
        <w:t>contribution</w:t>
      </w:r>
      <w:r w:rsidR="00641E5F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, we provide our views on remaining issue of OTA test method of </w:t>
      </w:r>
      <w:proofErr w:type="spellStart"/>
      <w:r w:rsidR="00641E5F">
        <w:rPr>
          <w:rFonts w:ascii="Times New Roman" w:eastAsia="等线" w:hAnsi="Times New Roman" w:cs="Times New Roman" w:hint="eastAsia"/>
          <w:kern w:val="0"/>
          <w:sz w:val="24"/>
          <w:szCs w:val="24"/>
        </w:rPr>
        <w:t>sTxMP</w:t>
      </w:r>
      <w:proofErr w:type="spellEnd"/>
    </w:p>
    <w:p w14:paraId="126932EC" w14:textId="77777777" w:rsidR="00F76B43" w:rsidRPr="00F76B43" w:rsidRDefault="00F76B43" w:rsidP="00F76B43">
      <w:pP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</w:pPr>
      <w:r w:rsidRPr="00F76B43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F76B43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roposal 1: Only keep the results of 6x6 antenna assumption.</w:t>
      </w:r>
    </w:p>
    <w:p w14:paraId="1FD950A5" w14:textId="77777777" w:rsidR="00F76B43" w:rsidRDefault="00F76B43" w:rsidP="00F76B43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68D34F10" w14:textId="28109964" w:rsidR="00F76B43" w:rsidRPr="00032E15" w:rsidRDefault="00F76B43" w:rsidP="00F76B43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032E15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O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bservation 1: The maximum antenna gain degradation for AoA2 is around 1.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5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</w:t>
      </w:r>
      <w:proofErr w:type="spellStart"/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dB.</w:t>
      </w:r>
      <w:proofErr w:type="spellEnd"/>
    </w:p>
    <w:p w14:paraId="2A5F0358" w14:textId="77777777" w:rsidR="00F76B43" w:rsidRDefault="00F76B43" w:rsidP="00F76B43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0D8D1605" w14:textId="6EF79012" w:rsidR="00F76B43" w:rsidRPr="00032E15" w:rsidRDefault="00F76B43" w:rsidP="00F76B43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2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: The 0.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8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dB</w:t>
      </w:r>
      <w:r w:rsidRPr="00032E15">
        <w:rPr>
          <w:rFonts w:ascii="Times New Roman" w:eastAsia="宋体" w:hAnsi="Times New Roman" w:cs="Times New Roman"/>
          <w:b/>
          <w:bCs/>
          <w:color w:val="000000" w:themeColor="text1"/>
          <w:szCs w:val="24"/>
        </w:rPr>
        <w:t xml:space="preserve"> </w:t>
      </w:r>
      <w:proofErr w:type="spellStart"/>
      <w:r w:rsidRPr="00032E15">
        <w:rPr>
          <w:rFonts w:ascii="Times New Roman" w:eastAsia="宋体" w:hAnsi="Times New Roman" w:cs="Times New Roman"/>
          <w:b/>
          <w:bCs/>
          <w:color w:val="000000" w:themeColor="text1"/>
          <w:szCs w:val="24"/>
        </w:rPr>
        <w:t>TT</w:t>
      </w:r>
      <w:r w:rsidRPr="00032E15">
        <w:rPr>
          <w:rFonts w:ascii="Times New Roman" w:eastAsia="宋体" w:hAnsi="Times New Roman" w:cs="Times New Roman"/>
          <w:b/>
          <w:bCs/>
          <w:color w:val="000000" w:themeColor="text1"/>
          <w:szCs w:val="24"/>
          <w:vertAlign w:val="subscript"/>
        </w:rPr>
        <w:t>FiniteRes</w:t>
      </w:r>
      <w:proofErr w:type="spellEnd"/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is applied to both AoA1 and AoA2.</w:t>
      </w:r>
    </w:p>
    <w:p w14:paraId="736C290C" w14:textId="77777777" w:rsidR="00F76B43" w:rsidRDefault="00F76B43" w:rsidP="00F76B43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7892854B" w14:textId="1A1003BD" w:rsidR="00F76B43" w:rsidRPr="00032E15" w:rsidRDefault="00F76B43" w:rsidP="00F76B43">
      <w:pPr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032E15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P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3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: The 0.</w:t>
      </w:r>
      <w:r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>7</w:t>
      </w:r>
      <w:r w:rsidRPr="00032E15">
        <w:rPr>
          <w:rFonts w:ascii="Times New Roman" w:eastAsia="等线" w:hAnsi="Times New Roman" w:cs="Times New Roman" w:hint="eastAsia"/>
          <w:b/>
          <w:bCs/>
          <w:kern w:val="0"/>
          <w:sz w:val="24"/>
          <w:szCs w:val="24"/>
        </w:rPr>
        <w:t xml:space="preserve"> dB </w:t>
      </w:r>
      <w:r w:rsidRPr="00032E15">
        <w:rPr>
          <w:rFonts w:ascii="Times New Roman" w:eastAsia="Times New Roman" w:hAnsi="Times New Roman" w:cs="Times New Roman"/>
          <w:b/>
          <w:bCs/>
          <w:color w:val="000000" w:themeColor="text1"/>
          <w:sz w:val="22"/>
        </w:rPr>
        <w:t>systematic MU for beam peak search</w:t>
      </w:r>
      <w:r w:rsidRPr="00032E15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 xml:space="preserve"> is 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>still</w:t>
      </w:r>
      <w:r w:rsidRPr="00032E15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 xml:space="preserve"> applied to </w:t>
      </w:r>
      <w:proofErr w:type="spellStart"/>
      <w:r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>sTxMP</w:t>
      </w:r>
      <w:proofErr w:type="spellEnd"/>
      <w:r w:rsidRPr="00032E15">
        <w:rPr>
          <w:rFonts w:ascii="Times New Roman" w:hAnsi="Times New Roman" w:cs="Times New Roman" w:hint="eastAsia"/>
          <w:b/>
          <w:bCs/>
          <w:color w:val="000000" w:themeColor="text1"/>
          <w:sz w:val="22"/>
        </w:rPr>
        <w:t>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2A0E647" w:rsidR="00DB2092" w:rsidRDefault="004B4333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4B4333">
        <w:rPr>
          <w:rFonts w:ascii="Times New Roman" w:eastAsia="等线" w:hAnsi="Times New Roman" w:cs="Times New Roman"/>
          <w:kern w:val="0"/>
          <w:sz w:val="20"/>
          <w:szCs w:val="20"/>
        </w:rPr>
        <w:t>R4-2508663</w:t>
      </w:r>
      <w:r w:rsidRPr="004B4333">
        <w:rPr>
          <w:rFonts w:ascii="Times New Roman" w:eastAsia="等线" w:hAnsi="Times New Roman" w:cs="Times New Roman"/>
          <w:kern w:val="0"/>
          <w:sz w:val="20"/>
          <w:szCs w:val="20"/>
        </w:rPr>
        <w:tab/>
        <w:t>Way Forward for [115][338] NR_FR2_OTA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Qualcomm, RAN4#115</w:t>
      </w:r>
    </w:p>
    <w:p w14:paraId="65F04640" w14:textId="2A947060" w:rsidR="002611BE" w:rsidRPr="00544495" w:rsidRDefault="002611BE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611BE">
        <w:rPr>
          <w:rFonts w:ascii="Times New Roman" w:eastAsia="等线" w:hAnsi="Times New Roman" w:cs="Times New Roman"/>
          <w:kern w:val="0"/>
          <w:sz w:val="20"/>
          <w:szCs w:val="20"/>
        </w:rPr>
        <w:t>R4-2506847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2611BE">
        <w:rPr>
          <w:rFonts w:ascii="Times New Roman" w:eastAsia="等线" w:hAnsi="Times New Roman" w:cs="Times New Roman"/>
          <w:kern w:val="0"/>
          <w:sz w:val="20"/>
          <w:szCs w:val="20"/>
        </w:rPr>
        <w:t>Discussion on the FR2 OTA test method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vivo, RAN4#115 </w:t>
      </w:r>
      <w:r w:rsidRPr="002611BE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</w:p>
    <w:sectPr w:rsidR="002611BE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A7173" w14:textId="77777777" w:rsidR="00504E1C" w:rsidRDefault="00504E1C" w:rsidP="0040353F">
      <w:r>
        <w:separator/>
      </w:r>
    </w:p>
  </w:endnote>
  <w:endnote w:type="continuationSeparator" w:id="0">
    <w:p w14:paraId="0E0D6F6E" w14:textId="77777777" w:rsidR="00504E1C" w:rsidRDefault="00504E1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C2FA6" w14:textId="77777777" w:rsidR="00504E1C" w:rsidRDefault="00504E1C" w:rsidP="0040353F">
      <w:r>
        <w:separator/>
      </w:r>
    </w:p>
  </w:footnote>
  <w:footnote w:type="continuationSeparator" w:id="0">
    <w:p w14:paraId="0F3D22CA" w14:textId="77777777" w:rsidR="00504E1C" w:rsidRDefault="00504E1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B41BA0"/>
    <w:multiLevelType w:val="hybridMultilevel"/>
    <w:tmpl w:val="008659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CE4A5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CC5446"/>
    <w:multiLevelType w:val="hybridMultilevel"/>
    <w:tmpl w:val="56B01C76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4"/>
  </w:num>
  <w:num w:numId="4" w16cid:durableId="544682373">
    <w:abstractNumId w:val="20"/>
  </w:num>
  <w:num w:numId="5" w16cid:durableId="138038937">
    <w:abstractNumId w:val="3"/>
  </w:num>
  <w:num w:numId="6" w16cid:durableId="528685386">
    <w:abstractNumId w:val="17"/>
  </w:num>
  <w:num w:numId="7" w16cid:durableId="1105925933">
    <w:abstractNumId w:val="9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8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5"/>
  </w:num>
  <w:num w:numId="20" w16cid:durableId="282004090">
    <w:abstractNumId w:val="1"/>
  </w:num>
  <w:num w:numId="21" w16cid:durableId="527986196">
    <w:abstractNumId w:val="13"/>
  </w:num>
  <w:num w:numId="22" w16cid:durableId="640303576">
    <w:abstractNumId w:val="10"/>
  </w:num>
  <w:num w:numId="23" w16cid:durableId="13103985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7839"/>
    <w:rsid w:val="00007413"/>
    <w:rsid w:val="00022CC0"/>
    <w:rsid w:val="00032E15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1F6A69"/>
    <w:rsid w:val="00202598"/>
    <w:rsid w:val="00204294"/>
    <w:rsid w:val="00224422"/>
    <w:rsid w:val="00232EC5"/>
    <w:rsid w:val="0025696B"/>
    <w:rsid w:val="002611BE"/>
    <w:rsid w:val="00265EC8"/>
    <w:rsid w:val="00267A27"/>
    <w:rsid w:val="00277EAC"/>
    <w:rsid w:val="0029264D"/>
    <w:rsid w:val="00293428"/>
    <w:rsid w:val="002B29C1"/>
    <w:rsid w:val="002C2C55"/>
    <w:rsid w:val="002D400B"/>
    <w:rsid w:val="002E74A9"/>
    <w:rsid w:val="002E7BEE"/>
    <w:rsid w:val="002F637D"/>
    <w:rsid w:val="002F7967"/>
    <w:rsid w:val="003061DF"/>
    <w:rsid w:val="003210C1"/>
    <w:rsid w:val="003233FB"/>
    <w:rsid w:val="003300F5"/>
    <w:rsid w:val="00340BBC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B4333"/>
    <w:rsid w:val="004D7EEB"/>
    <w:rsid w:val="004F1FDF"/>
    <w:rsid w:val="00504E1C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41E5F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27F72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1BB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527FC"/>
    <w:rsid w:val="00A62139"/>
    <w:rsid w:val="00A8346A"/>
    <w:rsid w:val="00AC5781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E1E1D"/>
    <w:rsid w:val="00E1446C"/>
    <w:rsid w:val="00E16988"/>
    <w:rsid w:val="00E22200"/>
    <w:rsid w:val="00E23C0A"/>
    <w:rsid w:val="00E45D21"/>
    <w:rsid w:val="00E46B30"/>
    <w:rsid w:val="00E617EF"/>
    <w:rsid w:val="00E6687A"/>
    <w:rsid w:val="00E7051E"/>
    <w:rsid w:val="00E933A8"/>
    <w:rsid w:val="00EB1928"/>
    <w:rsid w:val="00EC3993"/>
    <w:rsid w:val="00EC6756"/>
    <w:rsid w:val="00F3572F"/>
    <w:rsid w:val="00F431C7"/>
    <w:rsid w:val="00F43AC7"/>
    <w:rsid w:val="00F53E52"/>
    <w:rsid w:val="00F751E6"/>
    <w:rsid w:val="00F76B43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3DB259E"/>
  <w15:docId w15:val="{8F0B2803-C3FD-4E21-A635-D5FA0717F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EB1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384</Words>
  <Characters>1916</Characters>
  <Application>Microsoft Office Word</Application>
  <DocSecurity>0</DocSecurity>
  <Lines>56</Lines>
  <Paragraphs>34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4</cp:revision>
  <dcterms:created xsi:type="dcterms:W3CDTF">2021-01-15T21:06:00Z</dcterms:created>
  <dcterms:modified xsi:type="dcterms:W3CDTF">2025-08-15T09:09:00Z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